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Компьютерная графика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«Компьютерная графика».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«Компьютерная графика»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обработки видео, аудио и графической информации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Геометрическое моделирование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Геометрическое моделирование. Операции над моделями. Сплайны</w:t>
            </w:r>
          </w:p>
          <w:p>
            <w:pPr>
              <w:jc w:val="both"/>
              <w:spacing w:after="0" w:line="240" w:lineRule="auto"/>
              <w:rPr>
                <w:sz w:val="24"/>
                <w:szCs w:val="24"/>
              </w:rPr>
            </w:pPr>
            <w:r>
              <w:rPr>
                <w:rFonts w:ascii="Times New Roman" w:hAnsi="Times New Roman" w:cs="Times New Roman"/>
                <w:color w:val="#000000"/>
                <w:sz w:val="24"/>
                <w:szCs w:val="24"/>
              </w:rPr>
              <w:t> Кривые в пространстве. Поверхности в пространстве.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графического браузера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Ознакомиться с основными функциями и приемами работы в графическом браузере.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3D моделирование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Получение базовых навыков 3D моделирования.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«Компьютерная графика» / Червенчук И.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2024-2025_ФГОС3++2024_Бак-ЗФО-РСО(24)_plx_Компьютерная графика</dc:title>
  <dc:creator>FastReport.NET</dc:creator>
</cp:coreProperties>
</file>